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Treasury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Treasury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TR-60896 — EUR: Ivy Lane Florist.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TR-19252 — EUR: Nova Digital.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TR-14741 — Multi-Currency: Sequoia Lumber.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TR-55669 — GBP: Nova Digital. Standard processing.</w:t>
      </w:r>
    </w:p>
    <w:p>
      <w:pPr>
        <w:pStyle w:val="ListParagraph"/>
        <w:numPr>
          <w:ilvl w:val="0"/>
          <w:numId w:val="2"/>
        </w:numPr>
      </w:pPr>
      <w:r>
        <w:t xml:space="preserve">TR-35652 — Multi-Currency: Peak Trading. Routine review.</w:t>
      </w:r>
    </w:p>
    <w:p>
      <w:pPr>
        <w:pStyle w:val="ListParagraph"/>
        <w:numPr>
          <w:ilvl w:val="0"/>
          <w:numId w:val="2"/>
        </w:numPr>
      </w:pPr>
      <w:r>
        <w:t xml:space="preserve">TR-53242 — USD: Ivy Lane Florist.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2026-03-29T20:24:56.625Z</dcterms:created>
  <dcterms:modified xsi:type="dcterms:W3CDTF">2026-03-29T20:24:56.625Z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