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Product Management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Product Management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PM-62250 — Payment Flow: Sequoia Lumber.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PM-28531 — Payment Flow: Mosaic Tiles Inc. High priority based on risk score.</w:t>
      </w:r>
    </w:p>
    <w:p>
      <w:pPr>
        <w:pStyle w:val="ListParagraph"/>
        <w:numPr>
          <w:ilvl w:val="0"/>
          <w:numId w:val="2"/>
        </w:numPr>
      </w:pPr>
      <w:r>
        <w:t xml:space="preserve">PM-77423 — Mobile: Prism Designs.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PM-78934 — Reporting: Summit Tech. Standard processing.</w:t>
      </w:r>
    </w:p>
    <w:p>
      <w:pPr>
        <w:pStyle w:val="ListParagraph"/>
        <w:numPr>
          <w:ilvl w:val="0"/>
          <w:numId w:val="2"/>
        </w:numPr>
      </w:pPr>
      <w:r>
        <w:t xml:space="preserve">PM-97232 — API: Ironside Gym. Routine review.</w:t>
      </w:r>
    </w:p>
    <w:p>
      <w:pPr>
        <w:pStyle w:val="ListParagraph"/>
        <w:numPr>
          <w:ilvl w:val="0"/>
          <w:numId w:val="2"/>
        </w:numPr>
      </w:pPr>
      <w:r>
        <w:t xml:space="preserve">PM-85017 — Mobile: Birch Lane Bakery.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2026-03-29T20:24:56.607Z</dcterms:created>
  <dcterms:modified xsi:type="dcterms:W3CDTF">2026-03-29T20:24:56.607Z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