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Fraud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Fraud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FA-16933 — Behavioural: Cascade Plumbing.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FA-14214 — Velocity Spike: Pine Ridge Wines. High priority based on risk score.</w:t>
      </w:r>
    </w:p>
    <w:p>
      <w:pPr>
        <w:pStyle w:val="ListParagraph"/>
        <w:numPr>
          <w:ilvl w:val="0"/>
          <w:numId w:val="2"/>
        </w:numPr>
      </w:pPr>
      <w:r>
        <w:t xml:space="preserve">FA-29650 — Unusual Geography: Evergreen Market.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FA-25589 — Velocity Spike: Atlas Equipment. Standard processing.</w:t>
      </w:r>
    </w:p>
    <w:p>
      <w:pPr>
        <w:pStyle w:val="ListParagraph"/>
        <w:numPr>
          <w:ilvl w:val="0"/>
          <w:numId w:val="2"/>
        </w:numPr>
      </w:pPr>
      <w:r>
        <w:t xml:space="preserve">FA-34622 — Unusual Geography: Sequoia Lumber. Routine review.</w:t>
      </w:r>
    </w:p>
    <w:p>
      <w:pPr>
        <w:pStyle w:val="ListParagraph"/>
        <w:numPr>
          <w:ilvl w:val="0"/>
          <w:numId w:val="2"/>
        </w:numPr>
      </w:pPr>
      <w:r>
        <w:t xml:space="preserve">FA-84038 — High Value: Jade Mountain Spa.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2026-03-29T20:24:56.571Z</dcterms:created>
  <dcterms:modified xsi:type="dcterms:W3CDTF">2026-03-29T20:24:56.571Z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