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Compliance / CDD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Compliance / CDD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SCR-17591 — Watchlist: Prism Designs.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SCR-58016 — Adverse Media: Sequoia Lumber.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SCR-47447 — PEP: Jade Mountain Spa.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SCR-93289 — Sanctions: Orbit Media. Standard processing.</w:t>
      </w:r>
    </w:p>
    <w:p>
      <w:pPr>
        <w:pStyle w:val="ListParagraph"/>
        <w:numPr>
          <w:ilvl w:val="0"/>
          <w:numId w:val="2"/>
        </w:numPr>
      </w:pPr>
      <w:r>
        <w:t xml:space="preserve">SCR-99509 — Periodic Refresh: Maple Street Deli. Routine review.</w:t>
      </w:r>
    </w:p>
    <w:p>
      <w:pPr>
        <w:pStyle w:val="ListParagraph"/>
        <w:numPr>
          <w:ilvl w:val="0"/>
          <w:numId w:val="2"/>
        </w:numPr>
      </w:pPr>
      <w:r>
        <w:t xml:space="preserve">SCR-57981 — Periodic Refresh: Coastal Rentals.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2026-03-29T20:24:56.565Z</dcterms:created>
  <dcterms:modified xsi:type="dcterms:W3CDTF">2026-03-29T20:24:56.565Z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